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930" w:rsidRPr="00361323" w:rsidRDefault="00361323" w:rsidP="00361323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613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HEALTHCARE RESOURCE USE AND EXPENDITURES IN PATIENTS UNDER 65 YEARS OF AGE AND NEWLY DIAGNOSED WITH PAROXYSMAL SUPRAVENTRICULAR TACHYCARDIA (PSVT) IN THE UNITED STATES</w:t>
      </w:r>
    </w:p>
    <w:p w:rsidR="00361323" w:rsidRDefault="00CF4930" w:rsidP="00361323">
      <w:pPr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</w:pPr>
      <w:r w:rsidRPr="003613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N.C. Sacks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vertAlign w:val="superscript"/>
        </w:rPr>
        <w:t>1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>, S. Bariahtaris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>, A. Sharma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3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>, K. Everson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4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>, P.L. Cyr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>, P. Douville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5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>, J.N. Ruskin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6</w:t>
      </w:r>
    </w:p>
    <w:p w:rsidR="00361323" w:rsidRDefault="00CF4930" w:rsidP="00361323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61323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>Precision Xtract, Boston, MA, USA</w:t>
      </w:r>
    </w:p>
    <w:p w:rsidR="00361323" w:rsidRDefault="00CF4930" w:rsidP="00361323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61323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>Value Dimensions LLC, Newtown, PA, USA</w:t>
      </w:r>
    </w:p>
    <w:p w:rsidR="00361323" w:rsidRDefault="00CF4930" w:rsidP="00361323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61323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3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>Precision Xtract, Vancouver, BC, Canada</w:t>
      </w:r>
    </w:p>
    <w:p w:rsidR="00361323" w:rsidRDefault="00CF4930" w:rsidP="00361323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61323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4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>Precision Health Economics, Austin, TX, USA</w:t>
      </w:r>
    </w:p>
    <w:p w:rsidR="00361323" w:rsidRDefault="00CF4930" w:rsidP="00361323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61323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5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>Milestone Pharmaceuticals Inc., Montreal, QC, Canada</w:t>
      </w:r>
    </w:p>
    <w:p w:rsidR="00CF4930" w:rsidRDefault="00CF4930" w:rsidP="00361323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61323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6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>Massachusetts General Hospital, Boston, MA, USA</w:t>
      </w:r>
    </w:p>
    <w:p w:rsidR="00361323" w:rsidRPr="00361323" w:rsidRDefault="00361323" w:rsidP="00361323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361323" w:rsidRDefault="00CF4930" w:rsidP="00361323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613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Objective: 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>To characterize healthcare resource use (HRU) and spending in newly diagnosed Paroxysmal Supraventricular Tachycardia (PSVT) patients &lt;65 years of age.</w:t>
      </w:r>
    </w:p>
    <w:p w:rsidR="00361323" w:rsidRDefault="00CF4930" w:rsidP="00361323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613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Method: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Data source: Truven Health Analytics </w:t>
      </w:r>
      <w:proofErr w:type="spellStart"/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>MarketScan</w:t>
      </w:r>
      <w:proofErr w:type="spellEnd"/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databases, with demographic, enrollment, medical and prescription drug claim data for commercially insured 89,800,000 individuals over 4 years. Study population: Patients &lt; age 65 newly diagnosed with PSVT (ICD-9: 427.0; ICD-10: I47.1) from </w:t>
      </w:r>
      <w:proofErr w:type="gramStart"/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>October,</w:t>
      </w:r>
      <w:proofErr w:type="gramEnd"/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2012 to September, 2016, and observable for one year before and after index diagnosis. Outcome measures: HRU and costs paid by insurers 1 year pre- and post-diagnosis.</w:t>
      </w:r>
    </w:p>
    <w:p w:rsidR="00361323" w:rsidRDefault="00CF4930" w:rsidP="00361323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613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Results: 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>A total of 14,164 newly diagnosed patients met study criteria; 58.2% were female; mean age was 49.0y (SD: 13.73). Mean annual costs per PSVT patient increased $17,708 after diagnosis (from $12,477 to $30,185; </w:t>
      </w:r>
      <w:r w:rsidRPr="0036132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P 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&lt; 0.0001), with largest increases in outpatient hospital and inpatient spending. More than half the increase </w:t>
      </w:r>
      <w:proofErr w:type="gramStart"/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>was</w:t>
      </w:r>
      <w:proofErr w:type="gramEnd"/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for services with a PSVT diagnosis, including cardiac ablations (18%) and other PSVT services (38%); an additional 16% was for other rhythm disorders. Rates of office, outpatient hospital and ED visits and hospitalizations were 1.3, 1.7, 1.8 and 3.0 times higher, respectively, following diagnosis (all </w:t>
      </w:r>
      <w:r w:rsidRPr="0036132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P 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>&lt; 0.0001). The proportions of patients with ED visits or hospitalizations also increased (</w:t>
      </w:r>
      <w:r w:rsidRPr="003613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Table 1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>).</w:t>
      </w:r>
    </w:p>
    <w:p w:rsidR="00361323" w:rsidRDefault="00CF4930" w:rsidP="00361323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613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Conclusion: </w:t>
      </w:r>
      <w:r w:rsidRPr="00361323">
        <w:rPr>
          <w:rFonts w:asciiTheme="majorBidi" w:eastAsia="Times New Roman" w:hAnsiTheme="majorBidi" w:cstheme="majorBidi"/>
          <w:color w:val="000000"/>
          <w:sz w:val="24"/>
          <w:szCs w:val="24"/>
        </w:rPr>
        <w:t>Healthcare costs and use show large increases following initial PSVT diagnosis, with most spending for PSVT and PSVT-related services.</w:t>
      </w:r>
    </w:p>
    <w:p w:rsidR="00345DBB" w:rsidRPr="00361323" w:rsidRDefault="00CF4930" w:rsidP="00361323">
      <w:pPr>
        <w:rPr>
          <w:rFonts w:asciiTheme="majorBidi" w:hAnsiTheme="majorBidi" w:cstheme="majorBidi"/>
          <w:sz w:val="24"/>
          <w:szCs w:val="24"/>
        </w:rPr>
      </w:pPr>
      <w:hyperlink r:id="rId6" w:tgtFrame="_blank" w:history="1">
        <w:r w:rsidRPr="00361323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</w:rPr>
          <w:br/>
        </w:r>
        <w:r w:rsidRPr="00361323">
          <w:rPr>
            <w:rFonts w:asciiTheme="majorBidi" w:eastAsia="Times New Roman" w:hAnsiTheme="majorBidi" w:cstheme="majorBidi"/>
            <w:noProof/>
            <w:color w:val="0000FF"/>
            <w:sz w:val="24"/>
            <w:szCs w:val="24"/>
          </w:rPr>
          <w:drawing>
            <wp:inline distT="0" distB="0" distL="0" distR="0" wp14:anchorId="073F645F" wp14:editId="25FA4FAE">
              <wp:extent cx="4352400" cy="2602800"/>
              <wp:effectExtent l="0" t="0" r="0" b="7620"/>
              <wp:docPr id="59" name="Picture 59" descr="https://files.abstractsonline.com/CTRL/AC/5/99D/694/517/46B/5BB/4AD/CF3/860/CF3/63/g496_2.jpg?noCache=27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s://files.abstractsonline.com/CTRL/AC/5/99D/694/517/46B/5BB/4AD/CF3/860/CF3/63/g496_2.jpg?noCache=27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52400" cy="260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bookmarkStart w:id="0" w:name="_GoBack"/>
      <w:bookmarkEnd w:id="0"/>
    </w:p>
    <w:sectPr w:rsidR="00345DBB" w:rsidRPr="003613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B3A" w:rsidRDefault="00683B3A" w:rsidP="00361323">
      <w:r>
        <w:separator/>
      </w:r>
    </w:p>
  </w:endnote>
  <w:endnote w:type="continuationSeparator" w:id="0">
    <w:p w:rsidR="00683B3A" w:rsidRDefault="00683B3A" w:rsidP="0036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B3A" w:rsidRDefault="00683B3A" w:rsidP="00361323">
      <w:r>
        <w:separator/>
      </w:r>
    </w:p>
  </w:footnote>
  <w:footnote w:type="continuationSeparator" w:id="0">
    <w:p w:rsidR="00683B3A" w:rsidRDefault="00683B3A" w:rsidP="00361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323" w:rsidRPr="00361323" w:rsidRDefault="00361323" w:rsidP="00361323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361323">
      <w:rPr>
        <w:rFonts w:asciiTheme="majorBidi" w:eastAsia="Times New Roman" w:hAnsiTheme="majorBidi" w:cstheme="majorBidi"/>
        <w:color w:val="000000"/>
        <w:sz w:val="24"/>
        <w:szCs w:val="24"/>
      </w:rPr>
      <w:t>18-A-496-IAC</w:t>
    </w:r>
  </w:p>
  <w:p w:rsidR="00361323" w:rsidRPr="00361323" w:rsidRDefault="00361323" w:rsidP="00361323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361323">
      <w:rPr>
        <w:rFonts w:asciiTheme="majorBidi" w:eastAsia="Times New Roman" w:hAnsiTheme="majorBidi" w:cstheme="majorBidi"/>
        <w:color w:val="000000"/>
        <w:sz w:val="24"/>
        <w:szCs w:val="24"/>
      </w:rPr>
      <w:t>54. Measurement of Outcome and Quality of Cardiovascular Care</w:t>
    </w:r>
  </w:p>
  <w:p w:rsidR="00361323" w:rsidRDefault="00361323">
    <w:pPr>
      <w:pStyle w:val="Header"/>
    </w:pPr>
  </w:p>
  <w:p w:rsidR="00361323" w:rsidRDefault="003613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30"/>
    <w:rsid w:val="0030401F"/>
    <w:rsid w:val="00361323"/>
    <w:rsid w:val="00683B3A"/>
    <w:rsid w:val="008A10D5"/>
    <w:rsid w:val="00A128E1"/>
    <w:rsid w:val="00CF4930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B5F8"/>
  <w15:chartTrackingRefBased/>
  <w15:docId w15:val="{1845A501-65D5-42AE-9F02-ACAEA7CC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323"/>
  </w:style>
  <w:style w:type="paragraph" w:styleId="Footer">
    <w:name w:val="footer"/>
    <w:basedOn w:val="Normal"/>
    <w:link w:val="FooterChar"/>
    <w:uiPriority w:val="99"/>
    <w:unhideWhenUsed/>
    <w:rsid w:val="00361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abstractsonline.com/CTRL/AC/5/99D/694/517/46B/5BB/4AD/CF3/860/CF3/63/g496_2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2018-05-28T14:04:00Z</dcterms:created>
  <dcterms:modified xsi:type="dcterms:W3CDTF">2018-05-28T14:08:00Z</dcterms:modified>
</cp:coreProperties>
</file>